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rPr>
          <w:sz w:val="2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02"/>
        <w:gridCol w:w="7938"/>
      </w:tblGrid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pStyle w:val="Style_3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Наименование объекта закупки закупки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tabs>
                <w:tab w:leader="none" w:pos="0" w:val="left"/>
                <w:tab w:leader="none" w:pos="426" w:val="left"/>
              </w:tabs>
              <w:ind/>
              <w:contextualSpacing w:val="1"/>
              <w:jc w:val="both"/>
              <w:rPr>
                <w:sz w:val="22"/>
              </w:rPr>
            </w:pPr>
            <w:r>
              <w:rPr>
                <w:sz w:val="22"/>
              </w:rPr>
              <w:t>Выполнение работ по капитальному ремонту</w:t>
            </w:r>
          </w:p>
          <w:p w14:paraId="06000000">
            <w:pPr>
              <w:tabs>
                <w:tab w:leader="none" w:pos="0" w:val="left"/>
                <w:tab w:leader="none" w:pos="426" w:val="left"/>
              </w:tabs>
              <w:ind/>
              <w:contextualSpacing w:val="1"/>
              <w:jc w:val="both"/>
              <w:rPr>
                <w:sz w:val="22"/>
              </w:rPr>
            </w:pPr>
          </w:p>
          <w:p w14:paraId="07000000">
            <w:pPr>
              <w:tabs>
                <w:tab w:leader="none" w:pos="0" w:val="left"/>
                <w:tab w:leader="none" w:pos="426" w:val="left"/>
              </w:tabs>
              <w:ind/>
              <w:contextualSpacing w:val="1"/>
              <w:jc w:val="both"/>
              <w:rPr>
                <w:sz w:val="22"/>
              </w:rPr>
            </w:pPr>
            <w:r>
              <w:rPr>
                <w:sz w:val="22"/>
              </w:rPr>
              <w:t>(Выполнение работ по капитальному ремонту объекта капитального строительства в сфере здравоохранения)</w:t>
            </w:r>
          </w:p>
          <w:p w14:paraId="08000000">
            <w:pPr>
              <w:tabs>
                <w:tab w:leader="none" w:pos="0" w:val="left"/>
                <w:tab w:leader="none" w:pos="426" w:val="left"/>
              </w:tabs>
              <w:ind/>
              <w:contextualSpacing w:val="1"/>
              <w:jc w:val="both"/>
              <w:rPr>
                <w:sz w:val="22"/>
              </w:rPr>
            </w:pPr>
          </w:p>
          <w:p w14:paraId="09000000">
            <w:pPr>
              <w:tabs>
                <w:tab w:leader="none" w:pos="0" w:val="left"/>
                <w:tab w:leader="none" w:pos="426" w:val="left"/>
              </w:tabs>
              <w:ind/>
              <w:contextualSpacing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(Выполнение </w:t>
            </w:r>
            <w:r>
              <w:rPr>
                <w:sz w:val="22"/>
              </w:rPr>
              <w:t>работ по капитальному ремонту объекта капитального строительства в сфере образования)</w:t>
            </w:r>
          </w:p>
          <w:p w14:paraId="0A000000">
            <w:pPr>
              <w:tabs>
                <w:tab w:leader="none" w:pos="0" w:val="left"/>
                <w:tab w:leader="none" w:pos="426" w:val="left"/>
              </w:tabs>
              <w:ind w:firstLine="440" w:left="0"/>
              <w:contextualSpacing w:val="1"/>
              <w:rPr>
                <w:sz w:val="22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pStyle w:val="Style_3"/>
              <w:ind w:firstLine="0" w:left="0"/>
              <w:jc w:val="lef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Обязательные требования к участникам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rPr>
                <w:b w:val="1"/>
                <w:sz w:val="22"/>
                <w:u w:val="single"/>
              </w:rPr>
            </w:pPr>
            <w:r>
              <w:rPr>
                <w:b w:val="1"/>
                <w:sz w:val="22"/>
                <w:u w:val="single"/>
              </w:rPr>
              <w:t xml:space="preserve">При НМЦК свыше </w:t>
            </w:r>
            <w:r>
              <w:rPr>
                <w:b w:val="1"/>
                <w:sz w:val="22"/>
                <w:u w:val="single"/>
              </w:rPr>
              <w:t>10</w:t>
            </w:r>
            <w:r>
              <w:rPr>
                <w:b w:val="1"/>
                <w:sz w:val="22"/>
                <w:u w:val="single"/>
              </w:rPr>
              <w:t xml:space="preserve"> млн. руб.:</w:t>
            </w:r>
          </w:p>
          <w:p w14:paraId="0D000000">
            <w:pPr>
              <w:ind/>
              <w:jc w:val="both"/>
              <w:rPr>
                <w:sz w:val="22"/>
              </w:rPr>
            </w:pPr>
          </w:p>
          <w:p w14:paraId="0E000000">
            <w:pPr>
              <w:ind w:firstLine="742" w:left="0"/>
              <w:jc w:val="both"/>
              <w:rPr>
                <w:sz w:val="22"/>
              </w:rPr>
            </w:pPr>
            <w:r>
              <w:rPr>
                <w:sz w:val="22"/>
              </w:rPr>
              <w:t>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 ⃰</w:t>
            </w:r>
          </w:p>
          <w:p w14:paraId="0F000000">
            <w:pPr>
              <w:ind w:firstLine="742" w:left="0"/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соответствии с частью 3 статьи 55.8 Градостроительного кодекса РФ член саморегулируемой организации имеет право выполнять строительство, реконструкцию, капитальный ремонт при соблюдении в совокупности следующих условий:</w:t>
            </w:r>
          </w:p>
          <w:p w14:paraId="10000000">
            <w:pPr>
              <w:ind w:firstLine="742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минимальный размер взноса участника закупки в компенсационный фонд возмещения вреда должен быть сформирован </w:t>
            </w:r>
            <w:commentRangeStart w:id="1"/>
            <w:r>
              <w:rPr>
                <w:sz w:val="22"/>
              </w:rPr>
              <w:t>в</w:t>
            </w:r>
            <w:commentRangeEnd w:id="1"/>
            <w:r>
              <w:commentReference w:id="1"/>
            </w:r>
            <w:r>
              <w:rPr>
                <w:sz w:val="22"/>
              </w:rPr>
              <w:t xml:space="preserve"> соответствии с требованиями       ч. 12 ст. 55.16 Градостроительного кодекса Российской Федерации; </w:t>
            </w:r>
          </w:p>
          <w:p w14:paraId="11000000">
            <w:pPr>
              <w:ind w:firstLine="742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ч. 13 ст. 55.16 Градостроительного кодекса Российской Федерации; </w:t>
            </w:r>
          </w:p>
          <w:p w14:paraId="12000000">
            <w:pPr>
              <w:ind w:firstLine="742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уровень ответственности члена саморегулируемой организации </w:t>
            </w:r>
            <w:r>
              <w:rPr>
                <w:sz w:val="22"/>
              </w:rPr>
      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участником закупки внесен взнос в компенсационный фонд обеспечения договорных обязательств, должен быть не менее цены, предложенной участником закупки; 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14:paraId="13000000">
            <w:pPr>
              <w:ind w:firstLine="742" w:left="0"/>
              <w:jc w:val="both"/>
              <w:rPr>
                <w:sz w:val="22"/>
              </w:rPr>
            </w:pPr>
            <w:r>
              <w:rPr>
                <w:sz w:val="22"/>
              </w:rPr>
              <w:t>Членство в саморегулируемой организации подтверждается наличием сведений об участнике закупки, содержащихся в едином реестре сведений о членах саморегулируемых организаций и их обязательствах.</w:t>
            </w:r>
          </w:p>
          <w:p w14:paraId="14000000">
            <w:pPr>
              <w:ind w:firstLine="742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Участник </w:t>
            </w:r>
            <w:r>
              <w:rPr>
                <w:sz w:val="22"/>
              </w:rPr>
              <w:t xml:space="preserve">закупки </w:t>
            </w:r>
            <w:r>
              <w:rPr>
                <w:sz w:val="22"/>
              </w:rPr>
              <w:t>вправе предоставить информацию из единого реестра сведений о членах саморегулируемых организаций и их обязательствах в любой свободной форме, подтверждающую, что участник закупки является членом саморегулируемой организации в области строительства, реконструкции, капитального ремонта объектов капитального строительства.</w:t>
            </w:r>
          </w:p>
          <w:p w14:paraId="15000000">
            <w:pPr>
              <w:ind w:firstLine="742" w:left="0"/>
              <w:jc w:val="both"/>
              <w:rPr>
                <w:sz w:val="22"/>
              </w:rPr>
            </w:pPr>
          </w:p>
          <w:p w14:paraId="16000000">
            <w:pPr>
              <w:ind w:firstLine="742" w:left="0"/>
              <w:jc w:val="both"/>
              <w:rPr>
                <w:sz w:val="22"/>
              </w:rPr>
            </w:pPr>
            <w:r>
              <w:rPr>
                <w:sz w:val="22"/>
              </w:rPr>
              <w:t>⃰ Данное требование не применяется к участникам закупки, указанным в ч. 2.1. и   ч. 2.2. ст. 52 Градостроительного кодекса Российской Федерации.</w:t>
            </w:r>
          </w:p>
          <w:p w14:paraId="17000000">
            <w:pPr>
              <w:ind/>
              <w:jc w:val="both"/>
              <w:rPr>
                <w:i w:val="1"/>
                <w:sz w:val="22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pStyle w:val="Style_3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Дополнительные требования к участник</w:t>
            </w:r>
            <w:r>
              <w:rPr>
                <w:rFonts w:ascii="Times New Roman" w:hAnsi="Times New Roman"/>
                <w:b w:val="1"/>
                <w:sz w:val="22"/>
              </w:rPr>
              <w:t>ам</w:t>
            </w: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rPr>
                <w:b w:val="1"/>
                <w:color w:val="000000"/>
                <w:sz w:val="22"/>
                <w:u w:val="single"/>
              </w:rPr>
            </w:pPr>
            <w:r>
              <w:rPr>
                <w:b w:val="1"/>
                <w:color w:val="000000"/>
                <w:sz w:val="22"/>
                <w:u w:val="single"/>
              </w:rPr>
              <w:t>При НМЦК свыше 5 млн. руб.:</w:t>
            </w:r>
          </w:p>
          <w:p w14:paraId="1A000000">
            <w:pPr>
              <w:pStyle w:val="Style_4"/>
              <w:spacing w:after="0" w:before="0"/>
              <w:ind w:firstLine="709" w:left="0"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Дополнительные требования к участникам закупки, установленные в соответствии </w:t>
            </w:r>
            <w:r>
              <w:rPr>
                <w:b w:val="1"/>
                <w:color w:val="000000"/>
                <w:sz w:val="22"/>
                <w:u w:val="single"/>
              </w:rPr>
              <w:t>с позицией 10</w:t>
            </w:r>
            <w:r>
              <w:rPr>
                <w:b w:val="1"/>
                <w:color w:val="000000"/>
                <w:sz w:val="22"/>
              </w:rPr>
              <w:t xml:space="preserve"> Приложения к постановлению Правит</w:t>
            </w:r>
            <w:r>
              <w:rPr>
                <w:b w:val="1"/>
                <w:color w:val="000000"/>
                <w:sz w:val="22"/>
              </w:rPr>
              <w:t>ельства РФ от 29.12.2021 № 2571</w:t>
            </w:r>
            <w:r>
              <w:t xml:space="preserve"> </w:t>
            </w:r>
            <w:r>
              <w:rPr>
                <w:b w:val="1"/>
                <w:color w:val="000000"/>
                <w:sz w:val="22"/>
              </w:rPr>
              <w:t>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      </w:r>
            <w:r>
              <w:rPr>
                <w:b w:val="1"/>
                <w:color w:val="000000"/>
                <w:sz w:val="22"/>
              </w:rPr>
              <w:t>:</w:t>
            </w:r>
          </w:p>
          <w:p w14:paraId="1B000000">
            <w:pPr>
              <w:rPr>
                <w:sz w:val="22"/>
              </w:rPr>
            </w:pPr>
            <w:r>
              <w:rPr>
                <w:sz w:val="22"/>
              </w:rPr>
              <w:t xml:space="preserve">         Наличие у участника закупки следующего опыта выполнения работ: </w:t>
            </w:r>
          </w:p>
          <w:p w14:paraId="1C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 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</w:t>
            </w:r>
          </w:p>
          <w:p w14:paraId="1D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 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</w:t>
            </w:r>
          </w:p>
          <w:p w14:paraId="1E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 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</w:t>
            </w:r>
          </w:p>
          <w:p w14:paraId="1F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Цена выполненных работ по договору, предусмотренному пунктом 1 или 2, цена выполненных р</w:t>
            </w:r>
            <w:r>
              <w:rPr>
                <w:color w:val="000000"/>
                <w:sz w:val="22"/>
              </w:rPr>
              <w:t>абот, предусмотренных пунктом 3</w:t>
            </w:r>
            <w:r>
              <w:rPr>
                <w:color w:val="000000"/>
                <w:sz w:val="22"/>
              </w:rPr>
              <w:t>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  <w:p w14:paraId="20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Участнику закупки достаточно обладать хотя бы одним из видов опыта.</w:t>
            </w:r>
          </w:p>
          <w:p w14:paraId="21000000">
            <w:pPr>
              <w:pStyle w:val="Style_4"/>
              <w:spacing w:after="0" w:before="0"/>
              <w:ind w:firstLine="709" w:left="0"/>
              <w:jc w:val="both"/>
              <w:rPr>
                <w:b w:val="1"/>
                <w:color w:val="000000"/>
                <w:sz w:val="22"/>
              </w:rPr>
            </w:pPr>
          </w:p>
          <w:p w14:paraId="22000000">
            <w:pPr>
              <w:pStyle w:val="Style_4"/>
              <w:spacing w:after="0" w:before="0"/>
              <w:ind w:firstLine="709" w:left="0"/>
              <w:jc w:val="both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Информация и документы*, подтверждающие соответствие участник</w:t>
            </w:r>
            <w:r>
              <w:rPr>
                <w:b w:val="1"/>
                <w:color w:val="000000"/>
                <w:sz w:val="22"/>
              </w:rPr>
              <w:t>ов</w:t>
            </w:r>
            <w:r>
              <w:rPr>
                <w:b w:val="1"/>
                <w:color w:val="000000"/>
                <w:sz w:val="22"/>
              </w:rPr>
              <w:t xml:space="preserve"> закупки дополнительным требованиям:</w:t>
            </w:r>
          </w:p>
          <w:p w14:paraId="23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случае наличия опыта, предусмотренного пунктом 1 «Дополнительных требований»:</w:t>
            </w:r>
          </w:p>
          <w:p w14:paraId="24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 исполненный договор;**</w:t>
            </w:r>
          </w:p>
          <w:p w14:paraId="25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 акт выполненных работ, подтверждающий цену выполненных работ.***</w:t>
            </w:r>
          </w:p>
          <w:p w14:paraId="26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случае наличия опыта, предусмотренного пунктом 2 «Дополнительных требований»:</w:t>
            </w:r>
          </w:p>
          <w:p w14:paraId="27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 исполненный договор;</w:t>
            </w:r>
          </w:p>
          <w:p w14:paraId="28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 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работ;***</w:t>
            </w:r>
          </w:p>
          <w:p w14:paraId="29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 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деятельности).***</w:t>
            </w:r>
          </w:p>
          <w:p w14:paraId="2A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случае наличия опыта, предусмотренного пунктом 3 «Дополнительных требований»:</w:t>
            </w:r>
          </w:p>
          <w:p w14:paraId="2B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 раздел 11 ''Смета на строительство объектов капитального строительства'' проектной документации;****</w:t>
            </w:r>
          </w:p>
          <w:p w14:paraId="2C000000">
            <w:pPr>
              <w:ind w:firstLine="567" w:left="0"/>
              <w:contextualSpacing w:val="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 разрешение на ввод объекта капитального строительства в эксплуатацию.</w:t>
            </w:r>
          </w:p>
          <w:p w14:paraId="2D000000">
            <w:pPr>
              <w:pStyle w:val="Style_4"/>
              <w:spacing w:after="0" w:before="0"/>
              <w:ind w:firstLine="709" w:left="0"/>
              <w:jc w:val="both"/>
              <w:rPr>
                <w:b w:val="1"/>
                <w:color w:val="000000"/>
                <w:sz w:val="22"/>
              </w:rPr>
            </w:pPr>
          </w:p>
          <w:p w14:paraId="2E000000">
            <w:pPr>
              <w:pStyle w:val="Style_4"/>
              <w:spacing w:after="0" w:before="0"/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----------------</w:t>
            </w:r>
          </w:p>
          <w:p w14:paraId="2F000000">
            <w:pPr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информация и документы направляются в форме электронных документов или в форме электронных образов бумажных документов участниками закупки в соответствии с требованиями Федерального закона в полном объеме и со всеми приложениями, за исключением в следующих случаях:</w:t>
            </w:r>
          </w:p>
          <w:p w14:paraId="30000000">
            <w:pPr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к предусмотренному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№ КС-11, № КС-14 и акт приемки объекта капитального строительства по формам, предусмотренным сводом правил,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назначения. Допускается направление в соответствии с Федеральным законом таких актов без приложений. Ценой выполненных работ по договорам, является указанная в актах, стоимость принимаемых основных фондов, в том числе стоимость строительно-монтажных работ, стоимость оборудования, инструмента, инвентаря либо (если акт приемки объекта капитального строительства не содержит цену выполненных работ) указанная в акте (актах) выполненных работ цена выполненных работ;</w:t>
            </w:r>
          </w:p>
          <w:p w14:paraId="31000000">
            <w:pPr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допускается направление в соответствии с Федеральным законом договоров, актов приемки объекта капитального строительства без приложения к ним проектной документации (если проектная документация является приложением к таким договорам, актам).</w:t>
            </w:r>
          </w:p>
          <w:p w14:paraId="32000000">
            <w:pPr>
              <w:ind w:firstLine="709" w:left="0"/>
              <w:jc w:val="both"/>
              <w:rPr>
                <w:color w:val="000000"/>
                <w:sz w:val="22"/>
              </w:rPr>
            </w:pPr>
          </w:p>
          <w:p w14:paraId="33000000">
            <w:pPr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Если предусмотренные документы, подтверждающие соответствие участников закупки дополнительным требованиям содержатся в открытых и общедоступных государственных реестрах, размещенных в информационно-телекоммуникационной сети «Интернет», в том числе ведение которых осуществляется в единой информационной системе в сфере закупок с размещением на официальном сайте единой информационной системы в информационно-телекоммуникационной сети «Интернет» таких документов, вместо направления таких документов участник закупки вправе направить в соответствии с Федеральным законом номер реестровой записи из соответствующего реестра.</w:t>
            </w:r>
          </w:p>
          <w:p w14:paraId="34000000">
            <w:pPr>
              <w:ind w:firstLine="540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случае наличия противоречий между информацией, содержащейся в единой информационной системе, и информацией, содержащейся в документах, направляемых участниками закупки и предусмотренных «</w:t>
            </w:r>
            <w:r>
              <w:rPr>
                <w:color w:val="000000"/>
                <w:sz w:val="22"/>
              </w:rPr>
              <w:t>Информацией и документами, подтверждающими соответствие участника закупки дополнительным требованиям»</w:t>
            </w:r>
            <w:r>
              <w:rPr>
                <w:color w:val="000000"/>
                <w:sz w:val="22"/>
              </w:rPr>
              <w:t>, приоритет имеет информация, содержащаяся в единой информационной системе.</w:t>
            </w:r>
          </w:p>
          <w:p w14:paraId="35000000">
            <w:pPr>
              <w:ind w:firstLine="709" w:left="0"/>
              <w:jc w:val="both"/>
              <w:rPr>
                <w:color w:val="000000"/>
                <w:sz w:val="22"/>
              </w:rPr>
            </w:pPr>
          </w:p>
          <w:p w14:paraId="36000000">
            <w:pPr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Опытом исполнения договора, предусмотренным </w:t>
            </w:r>
            <w:r>
              <w:rPr>
                <w:color w:val="000000"/>
                <w:sz w:val="22"/>
                <w:highlight w:val="white"/>
              </w:rPr>
              <w:t>«Дополнительными требованиями»</w:t>
            </w:r>
            <w:r>
              <w:rPr>
                <w:color w:val="000000"/>
                <w:sz w:val="22"/>
              </w:rPr>
              <w:t xml:space="preserve">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 </w:t>
            </w:r>
          </w:p>
          <w:p w14:paraId="37000000">
            <w:pPr>
              <w:ind w:firstLine="709" w:left="0"/>
              <w:jc w:val="both"/>
              <w:rPr>
                <w:color w:val="000000"/>
                <w:sz w:val="22"/>
              </w:rPr>
            </w:pPr>
            <w:bookmarkStart w:id="1" w:name="sub_324"/>
            <w:r>
              <w:rPr>
                <w:color w:val="000000"/>
                <w:sz w:val="22"/>
              </w:rPr>
              <w:t xml:space="preserve">Ценой поставленных товаров, выполненных работ, оказанных услуг по договору, предусмотренному </w:t>
            </w:r>
            <w:r>
              <w:rPr>
                <w:color w:val="000000"/>
                <w:sz w:val="22"/>
                <w:highlight w:val="white"/>
              </w:rPr>
              <w:t>«Дополнительными требованиями»</w:t>
            </w:r>
            <w:r>
              <w:rPr>
                <w:color w:val="000000"/>
                <w:sz w:val="22"/>
              </w:rPr>
              <w:t>, считается общая цена (сумма цен) товаров, работ, услуг, указанная в акте (актах) приемки поставленных товаров, выполненных работ, оказанных услуг.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Федерального закона все такие акты.</w:t>
            </w:r>
          </w:p>
          <w:p w14:paraId="38000000">
            <w:pPr>
              <w:ind w:firstLine="709" w:left="0"/>
              <w:jc w:val="both"/>
              <w:rPr>
                <w:color w:val="000000"/>
                <w:sz w:val="22"/>
              </w:rPr>
            </w:pPr>
            <w:bookmarkEnd w:id="1"/>
          </w:p>
          <w:p w14:paraId="39000000">
            <w:pPr>
              <w:pStyle w:val="Style_4"/>
              <w:spacing w:after="0" w:before="0"/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** </w:t>
            </w:r>
            <w:r>
              <w:rPr>
                <w:color w:val="000000"/>
                <w:sz w:val="22"/>
              </w:rPr>
              <w:t>Считается контракт, заключенный и исполненный в соответствии с Федеральным законом, либо договор, заключенный и исполненный в соответствии с Федеральным законом от 18.07.2011 № 223-ФЗ «О закупках товаров, работ, услуг отдельными видами юридических лиц».</w:t>
            </w:r>
          </w:p>
          <w:p w14:paraId="3A000000">
            <w:pPr>
              <w:ind w:firstLine="709" w:left="0"/>
              <w:jc w:val="both"/>
              <w:rPr>
                <w:color w:val="000000"/>
                <w:sz w:val="22"/>
              </w:rPr>
            </w:pPr>
          </w:p>
          <w:p w14:paraId="3B000000">
            <w:pPr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*** Документы, подтверждающие соответствие участников закупки дополнительным требованиям: </w:t>
            </w:r>
            <w:r>
              <w:rPr>
                <w:color w:val="000000"/>
                <w:sz w:val="22"/>
                <w:highlight w:val="white"/>
              </w:rPr>
              <w:t>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</w:t>
            </w:r>
            <w:r>
              <w:rPr>
                <w:color w:val="000000"/>
                <w:sz w:val="22"/>
              </w:rPr>
              <w:t>.</w:t>
            </w:r>
          </w:p>
          <w:p w14:paraId="3C000000">
            <w:pPr>
              <w:ind w:firstLine="709" w:left="0"/>
              <w:jc w:val="both"/>
              <w:rPr>
                <w:color w:val="000000"/>
                <w:sz w:val="22"/>
              </w:rPr>
            </w:pPr>
          </w:p>
          <w:p w14:paraId="3D000000">
            <w:pPr>
              <w:ind w:firstLine="709" w:left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**** Разделом 11 «Смета на строительство объектов капитального строительства» проектной документации, является раздел, предусмотренный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"http://internet.garant.ru/document/redirect/12158997/1028"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пунктом 28</w:t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Положения о составе разделов проектной документации и требованиях к их содержанию, утвержденного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"http://internet.garant.ru/document/redirect/12158997/0"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постановлением</w:t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Правительства Российской Федерации от 16.02.2008 № 87 «О составе разделов проектной документации и требованиях к их содержанию».</w:t>
            </w:r>
          </w:p>
          <w:p w14:paraId="3E000000">
            <w:pPr>
              <w:ind/>
              <w:jc w:val="both"/>
              <w:rPr>
                <w:color w:val="000000"/>
                <w:sz w:val="22"/>
              </w:rPr>
            </w:pP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pStyle w:val="Style_3"/>
              <w:ind w:firstLine="0" w:left="0"/>
              <w:jc w:val="lef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Код ОКПД 2 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41.20.40.</w:t>
            </w:r>
            <w:r>
              <w:rPr>
                <w:color w:val="000000"/>
                <w:sz w:val="22"/>
              </w:rPr>
              <w:t>900</w:t>
            </w:r>
            <w:r>
              <w:rPr>
                <w:color w:val="000000"/>
                <w:sz w:val="22"/>
              </w:rPr>
              <w:t xml:space="preserve"> - Работы строительные по возведению нежилых зданий и сооружений прочие, не включенные в другие группировки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pStyle w:val="Style_3"/>
              <w:ind w:firstLine="0" w:left="0"/>
              <w:jc w:val="lef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Позиция в КТРУ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HYPERLINK "https://zakupki.gov.ru/epz/ktru/ktruCard/commonInfo.html?itemId=76224"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41.20.40.000-0000000</w:t>
            </w:r>
            <w:r>
              <w:rPr>
                <w:sz w:val="22"/>
              </w:rPr>
              <w:t xml:space="preserve">6 </w:t>
            </w:r>
            <w:r>
              <w:rPr>
                <w:sz w:val="22"/>
              </w:rPr>
              <w:fldChar w:fldCharType="end"/>
            </w:r>
          </w:p>
          <w:p w14:paraId="43000000">
            <w:pPr>
              <w:rPr>
                <w:sz w:val="22"/>
              </w:rPr>
            </w:pPr>
            <w:r>
              <w:rPr>
                <w:sz w:val="22"/>
              </w:rPr>
              <w:t>41.20.40.000-00000007</w:t>
            </w:r>
          </w:p>
          <w:p w14:paraId="44000000">
            <w:pPr>
              <w:rPr>
                <w:sz w:val="22"/>
              </w:rPr>
            </w:pPr>
            <w:r>
              <w:rPr>
                <w:sz w:val="22"/>
              </w:rPr>
              <w:t>41.20.40.000-00000008</w:t>
            </w:r>
          </w:p>
          <w:p w14:paraId="45000000">
            <w:pPr>
              <w:rPr>
                <w:sz w:val="22"/>
              </w:rPr>
            </w:pPr>
            <w:r>
              <w:rPr>
                <w:sz w:val="22"/>
              </w:rPr>
              <w:t>41.20.40.000-000000020</w:t>
            </w:r>
          </w:p>
          <w:p w14:paraId="46000000">
            <w:pPr>
              <w:rPr>
                <w:sz w:val="22"/>
              </w:rPr>
            </w:pPr>
            <w:r>
              <w:rPr>
                <w:sz w:val="22"/>
              </w:rPr>
              <w:t>41.20.40.000-000000021</w:t>
            </w:r>
          </w:p>
          <w:p w14:paraId="47000000">
            <w:pPr>
              <w:rPr>
                <w:sz w:val="22"/>
              </w:rPr>
            </w:pPr>
            <w:r>
              <w:rPr>
                <w:sz w:val="22"/>
              </w:rPr>
              <w:t>41.20.40.000-000000023</w:t>
            </w:r>
          </w:p>
        </w:tc>
      </w:tr>
      <w:t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pStyle w:val="Style_3"/>
              <w:keepNext w:val="0"/>
              <w:widowControl w:val="0"/>
              <w:ind w:firstLine="0" w:lef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Информация о контракте </w:t>
            </w:r>
          </w:p>
        </w:tc>
        <w:tc>
          <w:tcPr>
            <w:tcW w:type="dxa" w:w="7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widowControl w:val="0"/>
              <w:tabs>
                <w:tab w:leader="none" w:pos="720" w:val="left"/>
                <w:tab w:leader="none" w:pos="1185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Используется типовой контракт на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ыполнение работ по капитальному ремонту</w:t>
            </w:r>
            <w:r>
              <w:rPr>
                <w:sz w:val="22"/>
              </w:rPr>
              <w:t xml:space="preserve"> объекта капитального строительства</w:t>
            </w:r>
            <w:r>
              <w:rPr>
                <w:sz w:val="22"/>
              </w:rPr>
              <w:t xml:space="preserve"> </w:t>
            </w:r>
          </w:p>
        </w:tc>
      </w:tr>
    </w:tbl>
    <w:p w14:paraId="4A000000">
      <w:pPr>
        <w:tabs>
          <w:tab w:leader="none" w:pos="567" w:val="left"/>
        </w:tabs>
        <w:ind/>
        <w:rPr>
          <w:b w:val="1"/>
          <w:sz w:val="22"/>
        </w:rPr>
      </w:pPr>
    </w:p>
    <w:p w14:paraId="4B000000">
      <w:pPr>
        <w:tabs>
          <w:tab w:leader="none" w:pos="567" w:val="left"/>
        </w:tabs>
        <w:ind w:firstLine="0" w:left="567"/>
        <w:jc w:val="center"/>
        <w:rPr>
          <w:b w:val="1"/>
          <w:sz w:val="22"/>
        </w:rPr>
      </w:pPr>
      <w:r>
        <w:rPr>
          <w:b w:val="1"/>
          <w:sz w:val="22"/>
        </w:rPr>
        <w:t>Описание объекта закупки (т</w:t>
      </w:r>
      <w:r>
        <w:rPr>
          <w:b w:val="1"/>
          <w:sz w:val="22"/>
        </w:rPr>
        <w:t>ехническое задание)</w:t>
      </w:r>
      <w:r>
        <w:rPr>
          <w:b w:val="1"/>
          <w:sz w:val="22"/>
        </w:rPr>
        <w:t>*</w:t>
      </w:r>
    </w:p>
    <w:p w14:paraId="4C000000">
      <w:pPr>
        <w:tabs>
          <w:tab w:leader="none" w:pos="567" w:val="left"/>
        </w:tabs>
        <w:ind w:firstLine="0" w:left="567"/>
        <w:jc w:val="center"/>
        <w:rPr>
          <w:b w:val="1"/>
          <w:sz w:val="22"/>
        </w:rPr>
      </w:pPr>
    </w:p>
    <w:p w14:paraId="4D000000">
      <w:pPr>
        <w:tabs>
          <w:tab w:leader="none" w:pos="567" w:val="left"/>
        </w:tabs>
        <w:ind w:firstLine="0" w:left="567"/>
        <w:jc w:val="center"/>
        <w:rPr>
          <w:b w:val="1"/>
          <w:sz w:val="22"/>
        </w:rPr>
      </w:pPr>
      <w:r>
        <w:rPr>
          <w:b w:val="1"/>
          <w:sz w:val="22"/>
        </w:rPr>
        <w:t>1. Общие положения</w:t>
      </w:r>
    </w:p>
    <w:p w14:paraId="4E000000">
      <w:pPr>
        <w:tabs>
          <w:tab w:leader="none" w:pos="567" w:val="left"/>
        </w:tabs>
        <w:ind w:firstLine="0" w:left="567"/>
        <w:jc w:val="center"/>
        <w:rPr>
          <w:b w:val="1"/>
          <w:i w:val="1"/>
          <w:sz w:val="22"/>
        </w:rPr>
      </w:pPr>
    </w:p>
    <w:p w14:paraId="4F000000">
      <w:pPr>
        <w:ind w:firstLine="567" w:left="0"/>
        <w:jc w:val="both"/>
        <w:rPr>
          <w:sz w:val="22"/>
        </w:rPr>
      </w:pPr>
      <w:r>
        <w:rPr>
          <w:sz w:val="22"/>
        </w:rPr>
        <w:t>Работы выполняются в соответствии с проектной документацией:</w:t>
      </w:r>
    </w:p>
    <w:tbl>
      <w:tblPr>
        <w:tblStyle w:val="Style_2"/>
        <w:tblInd w:type="dxa" w:w="93"/>
        <w:tblLayout w:type="fixed"/>
      </w:tblPr>
      <w:tblGrid>
        <w:gridCol w:w="9371"/>
      </w:tblGrid>
      <w:tr>
        <w:trPr>
          <w:trHeight w:hRule="atLeast" w:val="300"/>
        </w:trPr>
        <w:tc>
          <w:tcPr>
            <w:tcW w:type="dxa" w:w="9371"/>
            <w:shd w:fill="auto" w:val="clear"/>
            <w:vAlign w:val="center"/>
          </w:tcPr>
          <w:p w14:paraId="5000000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ЛОКАЛЬНЫЙ СМЕТНЫЙ РАСЧЁТ (СМЕТА) №</w:t>
            </w:r>
            <w:r>
              <w:rPr>
                <w:sz w:val="22"/>
                <w:u w:val="single"/>
              </w:rPr>
              <w:t>.</w:t>
            </w:r>
          </w:p>
        </w:tc>
      </w:tr>
      <w:tr>
        <w:trPr>
          <w:trHeight w:hRule="atLeast" w:val="300"/>
        </w:trPr>
        <w:tc>
          <w:tcPr>
            <w:tcW w:type="dxa" w:w="9371"/>
            <w:shd w:fill="auto" w:val="clear"/>
            <w:vAlign w:val="center"/>
          </w:tcPr>
          <w:p w14:paraId="5100000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ЛОКАЛЬНЫЙ СМЕТНЫЙ РАСЧЁТ (СМЕТА) №</w:t>
            </w:r>
            <w:r>
              <w:rPr>
                <w:sz w:val="22"/>
                <w:u w:val="single"/>
              </w:rPr>
              <w:t xml:space="preserve"> </w:t>
            </w:r>
          </w:p>
        </w:tc>
      </w:tr>
    </w:tbl>
    <w:p w14:paraId="52000000">
      <w:pPr>
        <w:numPr>
          <w:ilvl w:val="0"/>
          <w:numId w:val="1"/>
        </w:numPr>
        <w:ind w:hanging="294" w:left="294"/>
        <w:jc w:val="both"/>
        <w:rPr>
          <w:sz w:val="22"/>
        </w:rPr>
      </w:pPr>
      <w:r>
        <w:rPr>
          <w:sz w:val="22"/>
        </w:rPr>
        <w:t xml:space="preserve">  ПРОЕКТ</w:t>
      </w:r>
    </w:p>
    <w:p w14:paraId="53000000">
      <w:pPr>
        <w:ind w:firstLine="142" w:left="0"/>
        <w:jc w:val="both"/>
        <w:rPr>
          <w:b w:val="1"/>
          <w:sz w:val="22"/>
        </w:rPr>
      </w:pPr>
    </w:p>
    <w:p w14:paraId="54000000">
      <w:pPr>
        <w:widowControl w:val="0"/>
        <w:ind w:firstLine="567" w:left="0"/>
        <w:jc w:val="both"/>
        <w:rPr>
          <w:sz w:val="22"/>
        </w:rPr>
      </w:pPr>
      <w:r>
        <w:rPr>
          <w:sz w:val="22"/>
        </w:rPr>
        <w:t>Проектная документация (Приложение</w:t>
      </w:r>
      <w:r>
        <w:rPr>
          <w:sz w:val="22"/>
        </w:rPr>
        <w:t xml:space="preserve"> к извещению о проведении закупки</w:t>
      </w:r>
      <w:r>
        <w:rPr>
          <w:sz w:val="22"/>
        </w:rPr>
        <w:t>)</w:t>
      </w:r>
      <w:r>
        <w:rPr>
          <w:sz w:val="22"/>
        </w:rPr>
        <w:t xml:space="preserve"> </w:t>
      </w:r>
      <w:r>
        <w:rPr>
          <w:sz w:val="22"/>
        </w:rPr>
        <w:t>разработана в соответствии с требованиями Фед</w:t>
      </w:r>
      <w:r>
        <w:rPr>
          <w:sz w:val="22"/>
        </w:rPr>
        <w:t xml:space="preserve">ерального закона от 27.12.2002 </w:t>
      </w:r>
      <w:r>
        <w:rPr>
          <w:sz w:val="22"/>
        </w:rPr>
        <w:br/>
      </w:r>
      <w:r>
        <w:rPr>
          <w:sz w:val="22"/>
        </w:rPr>
        <w:t>№ 184-ФЗ «О техническом регулировании», ГОСТами, СП</w:t>
      </w:r>
      <w:r>
        <w:rPr>
          <w:sz w:val="22"/>
        </w:rPr>
        <w:t>,</w:t>
      </w:r>
      <w:r>
        <w:rPr>
          <w:sz w:val="22"/>
        </w:rPr>
        <w:t xml:space="preserve"> и других нормативных документов, предложенные к использованию материалы соответствуют требованиям ГОСТ, СП, СанПиН. </w:t>
      </w:r>
    </w:p>
    <w:p w14:paraId="55000000">
      <w:pPr>
        <w:widowControl w:val="0"/>
        <w:ind w:firstLine="567" w:left="0"/>
        <w:jc w:val="both"/>
        <w:rPr>
          <w:sz w:val="22"/>
        </w:rPr>
      </w:pPr>
      <w:r>
        <w:rPr>
          <w:sz w:val="22"/>
        </w:rPr>
        <w:t>Подрядчик обязуется выполнить работы в соответствии с объемами работ и проектными решениями, указанными в проектной документации, а также при выполнении работ соблюдать требования законодательства в сфере строительства. Все выполняемые работы должны быть безопасными для жизни и здоровья людей в соответствии с действующим законодательством.</w:t>
      </w:r>
    </w:p>
    <w:p w14:paraId="56000000">
      <w:pPr>
        <w:widowControl w:val="0"/>
        <w:ind w:firstLine="567" w:left="0"/>
        <w:jc w:val="both"/>
        <w:rPr>
          <w:sz w:val="22"/>
        </w:rPr>
      </w:pPr>
      <w:r>
        <w:rPr>
          <w:sz w:val="22"/>
        </w:rPr>
        <w:t>Подрядчик обязан назначить ответственное лицо по осуществлению строительного контроля при производстве строительных работ.</w:t>
      </w:r>
    </w:p>
    <w:p w14:paraId="57000000">
      <w:pPr>
        <w:widowControl w:val="0"/>
        <w:ind w:firstLine="567" w:left="0"/>
        <w:jc w:val="both"/>
        <w:rPr>
          <w:sz w:val="22"/>
        </w:rPr>
      </w:pPr>
      <w:r>
        <w:rPr>
          <w:sz w:val="22"/>
        </w:rPr>
        <w:t>Подрядчик, должен обеспечивать объект всеми видами материально-технических ресурсов в строгом соответствии с технологической последовательностью производства работ, в сроки, установленные контрактом.</w:t>
      </w:r>
    </w:p>
    <w:p w14:paraId="58000000">
      <w:pPr>
        <w:ind w:firstLine="567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Подрядчику необходимо обеспечить:</w:t>
      </w:r>
    </w:p>
    <w:p w14:paraId="59000000">
      <w:pPr>
        <w:ind w:firstLine="567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достаточное количество персонала и рабочих необходимых для выполнения обязательств по контракту;</w:t>
      </w:r>
    </w:p>
    <w:p w14:paraId="5A000000">
      <w:pPr>
        <w:ind w:firstLine="567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ограждение мест производства работ и нести ответственность за безопасность передвижения в зоне производства работ;</w:t>
      </w:r>
    </w:p>
    <w:p w14:paraId="5B000000">
      <w:pPr>
        <w:ind w:firstLine="567" w:left="0"/>
        <w:jc w:val="both"/>
        <w:rPr>
          <w:sz w:val="22"/>
        </w:rPr>
      </w:pPr>
      <w:r>
        <w:rPr>
          <w:color w:val="000000"/>
          <w:sz w:val="22"/>
        </w:rPr>
        <w:t>- своевременный вывоз строительного мусора с Объекта.</w:t>
      </w:r>
      <w:r>
        <w:rPr>
          <w:sz w:val="22"/>
        </w:rPr>
        <w:t xml:space="preserve"> После окончания работ, ежедневно, должна производиться уборка мусора, материалов и т.п.  Мусор складируется в мешках.  Место складирования мусора указывается Заказчиком. Вывоз мусора – ежедневно, по мере накопления.</w:t>
      </w:r>
    </w:p>
    <w:p w14:paraId="5C000000">
      <w:pPr>
        <w:ind w:firstLine="567" w:left="0"/>
        <w:jc w:val="both"/>
        <w:rPr>
          <w:color w:val="000000"/>
          <w:sz w:val="22"/>
        </w:rPr>
      </w:pPr>
      <w:r>
        <w:rPr>
          <w:color w:val="000000"/>
          <w:sz w:val="22"/>
        </w:rPr>
        <w:t>- содержание и уборку территории во время производства работ и после окончания работ.</w:t>
      </w:r>
    </w:p>
    <w:p w14:paraId="5D000000">
      <w:pPr>
        <w:widowControl w:val="0"/>
        <w:ind w:firstLine="567" w:left="0"/>
        <w:jc w:val="both"/>
        <w:rPr>
          <w:sz w:val="22"/>
        </w:rPr>
      </w:pPr>
      <w:r>
        <w:rPr>
          <w:color w:val="000000"/>
          <w:sz w:val="22"/>
        </w:rPr>
        <w:t>При выполнении работ по капитальному ремонту предусмотреть мероприятия по защите существующих конструкций. При повреждении оборудования и имущества Заказчика, расходы на их восстановление несет Подрядчик.</w:t>
      </w:r>
    </w:p>
    <w:p w14:paraId="5E000000">
      <w:pPr>
        <w:ind w:firstLine="567" w:left="0"/>
        <w:jc w:val="both"/>
        <w:rPr>
          <w:sz w:val="22"/>
        </w:rPr>
      </w:pPr>
      <w:r>
        <w:rPr>
          <w:sz w:val="22"/>
        </w:rPr>
        <w:t>Все работы должны быть выполнены в соответствии с нормами и требованиями ГОСТ, СП, СанПиН, ПУЭ, НПБ, нормативных документов в области охраны труда и безопасности производства работ, а также требованиями соответствующих надзорных и инспектирующих органов.</w:t>
      </w:r>
    </w:p>
    <w:p w14:paraId="5F000000">
      <w:pPr>
        <w:ind w:firstLine="567" w:left="0"/>
        <w:jc w:val="both"/>
        <w:rPr>
          <w:sz w:val="22"/>
        </w:rPr>
      </w:pPr>
    </w:p>
    <w:p w14:paraId="60000000">
      <w:pPr>
        <w:ind w:firstLine="567" w:left="0"/>
        <w:jc w:val="center"/>
        <w:rPr>
          <w:b w:val="1"/>
          <w:sz w:val="22"/>
        </w:rPr>
      </w:pPr>
      <w:r>
        <w:rPr>
          <w:b w:val="1"/>
          <w:sz w:val="22"/>
        </w:rPr>
        <w:t>2. Требования Заказчика к выполнению работ</w:t>
      </w:r>
    </w:p>
    <w:p w14:paraId="61000000">
      <w:pPr>
        <w:ind w:firstLine="567" w:left="0"/>
        <w:jc w:val="center"/>
        <w:rPr>
          <w:b w:val="1"/>
          <w:sz w:val="22"/>
        </w:rPr>
      </w:pPr>
    </w:p>
    <w:p w14:paraId="62000000">
      <w:pPr>
        <w:ind w:firstLine="567" w:left="0"/>
        <w:jc w:val="both"/>
        <w:rPr>
          <w:sz w:val="22"/>
        </w:rPr>
      </w:pPr>
      <w:r>
        <w:rPr>
          <w:sz w:val="22"/>
        </w:rPr>
        <w:t xml:space="preserve">Подрядчик назначает на объект ответственное лицо за производство работ. Работы производятся с соблюдением пропускного и внутриобъектового режима, установленного в административных зданиях Заказчика. Выполнение работ не должно препятствовать или создавать неудобства в работе сотрудников Заказчика или представлять угрозу. </w:t>
      </w:r>
    </w:p>
    <w:p w14:paraId="63000000">
      <w:pPr>
        <w:ind w:firstLine="567" w:left="0"/>
        <w:jc w:val="both"/>
        <w:rPr>
          <w:sz w:val="22"/>
        </w:rPr>
      </w:pPr>
      <w:r>
        <w:rPr>
          <w:sz w:val="22"/>
        </w:rPr>
        <w:t>Режим работы: с 8-00 часов до 17-00 часов продолжительностью рабочего времени  - 8 часов при 5-дневной рабочей неделе. Увеличение продолжительности рабочего времени, работа в выходные дни - по согласованию с Заказчиком.</w:t>
      </w:r>
    </w:p>
    <w:p w14:paraId="64000000">
      <w:pPr>
        <w:ind w:firstLine="567" w:left="0"/>
        <w:jc w:val="both"/>
        <w:rPr>
          <w:sz w:val="22"/>
        </w:rPr>
      </w:pPr>
      <w:r>
        <w:rPr>
          <w:sz w:val="22"/>
        </w:rPr>
        <w:t>В процессе выполнения работ осуществлять ежедневную уборку места производства работ и прилегающей непосредственно к нему территории, ежедневный вывоз мусора и содержание в надлежащем порядке мест выполнения работ, не допускать проникновение пыли в прилегающие помещения.</w:t>
      </w:r>
    </w:p>
    <w:p w14:paraId="65000000">
      <w:pPr>
        <w:ind w:firstLine="567" w:left="0"/>
        <w:jc w:val="both"/>
        <w:rPr>
          <w:sz w:val="22"/>
        </w:rPr>
      </w:pPr>
      <w:r>
        <w:rPr>
          <w:sz w:val="22"/>
        </w:rPr>
        <w:t>Подрядчик обязан обеспечить сотрудников спецодеждой и инструментами. Подрядчик должен надлежащим образом оформить и сдать Заказчику исполнительную и отчетную документацию по объекту, в том числе:</w:t>
      </w:r>
    </w:p>
    <w:p w14:paraId="66000000">
      <w:pPr>
        <w:numPr>
          <w:ilvl w:val="0"/>
          <w:numId w:val="2"/>
        </w:num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Паспорт на применяемые материалы;</w:t>
      </w:r>
    </w:p>
    <w:p w14:paraId="67000000">
      <w:pPr>
        <w:numPr>
          <w:ilvl w:val="0"/>
          <w:numId w:val="2"/>
        </w:num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Сертификаты соответствия, сертификаты пожарной безопасности на материалы;</w:t>
      </w:r>
    </w:p>
    <w:p w14:paraId="68000000">
      <w:pPr>
        <w:numPr>
          <w:ilvl w:val="0"/>
          <w:numId w:val="2"/>
        </w:num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Акты на скрытые работы;</w:t>
      </w:r>
    </w:p>
    <w:p w14:paraId="69000000">
      <w:pPr>
        <w:numPr>
          <w:ilvl w:val="0"/>
          <w:numId w:val="2"/>
        </w:num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Журнал производства работ, прошитый и пронумерованный.</w:t>
      </w:r>
    </w:p>
    <w:p w14:paraId="6A000000">
      <w:pPr>
        <w:ind w:firstLine="0" w:left="567"/>
        <w:contextualSpacing w:val="1"/>
        <w:jc w:val="both"/>
        <w:rPr>
          <w:sz w:val="22"/>
        </w:rPr>
      </w:pPr>
    </w:p>
    <w:p w14:paraId="6B000000">
      <w:pPr>
        <w:ind w:firstLine="567" w:left="0"/>
        <w:jc w:val="center"/>
        <w:rPr>
          <w:b w:val="1"/>
          <w:sz w:val="22"/>
        </w:rPr>
      </w:pPr>
      <w:r>
        <w:rPr>
          <w:b w:val="1"/>
          <w:sz w:val="22"/>
        </w:rPr>
        <w:t>3. Требования к качеству работ и строительных материалов</w:t>
      </w:r>
    </w:p>
    <w:p w14:paraId="6C000000">
      <w:pPr>
        <w:ind w:firstLine="567" w:left="0"/>
        <w:jc w:val="center"/>
        <w:rPr>
          <w:b w:val="1"/>
          <w:sz w:val="22"/>
        </w:rPr>
      </w:pPr>
    </w:p>
    <w:p w14:paraId="6D000000">
      <w:pPr>
        <w:ind w:firstLine="567" w:left="0"/>
        <w:jc w:val="both"/>
        <w:rPr>
          <w:sz w:val="22"/>
        </w:rPr>
      </w:pPr>
      <w:r>
        <w:rPr>
          <w:sz w:val="22"/>
        </w:rPr>
        <w:t>При проведении работ руководствоваться распоряжением Правительства Тверской области от 23.05.2022г. №493-рп «Об утверждении методических рекомендаций по разработке технических заданий на проектирование объектов капитального строительства при строительстве, реконструкции, на проведение работ по сохранению объектов культурного наследия, по проведению капитального ремонта объектов капитального строительства и общих требований к качеству работ по капитальному ремонту (ремонту)».</w:t>
      </w:r>
    </w:p>
    <w:p w14:paraId="6E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Оборудование, материалы, изделия и конструкции, используемые при выполнении работ должны иметь соответствующие сертификаты, паспорта и/или иные документы, подтверждающие их качество. В документах должно быть указано: наименование предприятия-изготовителя и его товарный знак; наименование и марка материала; номер партии и дата изготовления; обозначение стандарта; результаты испытаний и подтверждение о соответствии материалов требованиям стандартов.</w:t>
      </w:r>
    </w:p>
    <w:p w14:paraId="6F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Применяемые материалы, оборудование должны соответствовать требованиям Российского законодательства в области ремонта зданий и сооружений, проектной документации.</w:t>
      </w:r>
    </w:p>
    <w:p w14:paraId="70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Применяемые в процессе работ материалы и оборудование должны быть новыми.</w:t>
      </w:r>
    </w:p>
    <w:p w14:paraId="71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Применение материалов и оборудования, бывших в употреблении, недопустимо.</w:t>
      </w:r>
    </w:p>
    <w:p w14:paraId="72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Все используемые при ремонте материалы, оборудование и изделия, указанные в проектной документации, необходимо читать как сопровождающиеся словами «или эквивалент».</w:t>
      </w:r>
    </w:p>
    <w:p w14:paraId="73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 xml:space="preserve">Замена Подрядчиком материалов, оборудования и изделий должно согласовываться с Заказчиком, уполномоченными специалистами строительного и/или авторского надзора (при наличии). </w:t>
      </w:r>
    </w:p>
    <w:p w14:paraId="74000000">
      <w:pPr>
        <w:ind w:firstLine="567" w:left="0"/>
        <w:contextualSpacing w:val="1"/>
        <w:jc w:val="both"/>
        <w:rPr>
          <w:sz w:val="22"/>
        </w:rPr>
      </w:pPr>
    </w:p>
    <w:p w14:paraId="75000000">
      <w:pPr>
        <w:ind w:firstLine="567" w:left="0"/>
        <w:contextualSpacing w:val="1"/>
        <w:jc w:val="center"/>
        <w:rPr>
          <w:b w:val="1"/>
          <w:sz w:val="22"/>
        </w:rPr>
      </w:pPr>
      <w:r>
        <w:rPr>
          <w:b w:val="1"/>
          <w:sz w:val="22"/>
        </w:rPr>
        <w:t>4. Требования Заказчика к качественным характеристикам (потребительским свойствам) и иным характеристикам товара, используемого при выполнении работ</w:t>
      </w:r>
    </w:p>
    <w:p w14:paraId="76000000">
      <w:pPr>
        <w:ind w:firstLine="567" w:left="0"/>
        <w:contextualSpacing w:val="1"/>
        <w:jc w:val="center"/>
        <w:rPr>
          <w:b w:val="1"/>
          <w:sz w:val="22"/>
        </w:rPr>
      </w:pPr>
    </w:p>
    <w:p w14:paraId="77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При проведении работ Подрядчик должен использовать оборудование, материалы и комплектующие изделия, сертифицированные на территории Российской Федерации в соответствии с требованиями, установленными Федеральным законом от 27.12.2002 № 184-ФЗ «О техническом регулировании».</w:t>
      </w:r>
    </w:p>
    <w:p w14:paraId="78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 Документы должны быть представлены на русском языке и надлежащим образом заверены.</w:t>
      </w:r>
    </w:p>
    <w:p w14:paraId="79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В случае если Заказчик запретил использование материалов и/или оборудования из-за их несоответствия стандартам качества или ранее утвержденным образцам, Подрядчик обязан за свой счет и своими силами произвести их замену. При применении материалов, не соответствующих указанным нормам и требованиям Заказчик оставляет за собой право предъявить претензии к Подрядчику с наложением штрафных санкций при выполнении контракта. При выполнении работ Подрядчик несет все расходы по закупке необходимого количества оборудования и материалов, достаточного для бесперебойного производства работ.</w:t>
      </w:r>
    </w:p>
    <w:p w14:paraId="7A000000">
      <w:pPr>
        <w:ind w:firstLine="567" w:left="0"/>
        <w:contextualSpacing w:val="1"/>
        <w:jc w:val="both"/>
        <w:rPr>
          <w:sz w:val="22"/>
        </w:rPr>
      </w:pPr>
    </w:p>
    <w:p w14:paraId="7B000000">
      <w:pPr>
        <w:ind w:firstLine="567" w:left="0"/>
        <w:contextualSpacing w:val="1"/>
        <w:jc w:val="center"/>
        <w:rPr>
          <w:b w:val="1"/>
          <w:sz w:val="22"/>
        </w:rPr>
      </w:pPr>
      <w:r>
        <w:rPr>
          <w:b w:val="1"/>
          <w:sz w:val="22"/>
        </w:rPr>
        <w:t>5. Требования к безопасности</w:t>
      </w:r>
    </w:p>
    <w:p w14:paraId="7C000000">
      <w:pPr>
        <w:ind w:firstLine="567" w:left="0"/>
        <w:contextualSpacing w:val="1"/>
        <w:jc w:val="center"/>
        <w:rPr>
          <w:b w:val="1"/>
          <w:sz w:val="22"/>
        </w:rPr>
      </w:pPr>
    </w:p>
    <w:p w14:paraId="7D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При производстве работ необходимо руководствоваться следующими нормативными актами:</w:t>
      </w:r>
    </w:p>
    <w:p w14:paraId="7E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- Федеральный закон от 22.07.2008 № 123-ФЗ «Технический регламент о требованиях пожарной безопасности».</w:t>
      </w:r>
    </w:p>
    <w:p w14:paraId="7F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- Федеральный закон от 30.12.2009 № 384-ФЗ «Технический регламент о безопасности зданий и сооружений»</w:t>
      </w:r>
    </w:p>
    <w:p w14:paraId="80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- «ГОСТ 12.4.011-89. Межгосударственный стандарт. Система стандартов безопасности труда. Средства защиты работающих. Общие требования и классификация».</w:t>
      </w:r>
    </w:p>
    <w:p w14:paraId="81000000">
      <w:pPr>
        <w:ind w:firstLine="567" w:left="0"/>
        <w:jc w:val="both"/>
        <w:rPr>
          <w:sz w:val="22"/>
        </w:rPr>
      </w:pPr>
      <w:r>
        <w:rPr>
          <w:sz w:val="22"/>
        </w:rPr>
        <w:t>- «</w:t>
      </w:r>
      <w:r>
        <w:rPr>
          <w:sz w:val="22"/>
        </w:rPr>
        <w:t>ГОСТ 12.3.002-2014. Межгосударственный стандарт. Система стандартов безопасности труда. Процессы производственные. Общие требования безопасности».</w:t>
      </w:r>
    </w:p>
    <w:p w14:paraId="82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- Приказ Минтруда России от 11.12.2020 № 883н «Об утверждении Правил по охране труда при строительстве, реконструкции и ремонте».</w:t>
      </w:r>
    </w:p>
    <w:p w14:paraId="83000000">
      <w:pPr>
        <w:ind w:firstLine="567" w:left="0"/>
        <w:jc w:val="both"/>
        <w:rPr>
          <w:sz w:val="22"/>
        </w:rPr>
      </w:pPr>
      <w:r>
        <w:rPr>
          <w:sz w:val="22"/>
        </w:rPr>
        <w:t>- СП 49.13330.2010 БЕЗОПАСНОСТЬ ТРУДА В СТРОИТЕЛЬСТВЕ. ЧАСТЬ 1. ОБЩИЕ ТРЕБОВАНИЯ.</w:t>
      </w:r>
    </w:p>
    <w:p w14:paraId="84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При проведении работ Подрядчик обеспечивает проведение мероприятий по охране труда, проведение первичного, вводного и планового инструктажа специалистов.</w:t>
      </w:r>
    </w:p>
    <w:p w14:paraId="85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Работы должны быть выполнены в соответствии с санитарными правилами и нормами, не должно допускаться захламлений в зонах, находящихся в непосредственной близости от места выполнения работ. Работы должны быть выполнены в соответствии с экологическими и иными нормами.</w:t>
      </w:r>
    </w:p>
    <w:p w14:paraId="86000000">
      <w:pPr>
        <w:ind w:firstLine="567" w:left="0"/>
        <w:contextualSpacing w:val="1"/>
        <w:jc w:val="both"/>
        <w:rPr>
          <w:sz w:val="22"/>
        </w:rPr>
      </w:pPr>
      <w:r>
        <w:rPr>
          <w:sz w:val="22"/>
        </w:rPr>
        <w:t>Все работы должны производиться проверенным и исправным оборудованием, инструментом и оснасткой, аттестованными и поверенными контрольно-измерительными приборами, необходимыми средствами защиты.</w:t>
      </w:r>
    </w:p>
    <w:p w14:paraId="87000000">
      <w:pPr>
        <w:pStyle w:val="Style_5"/>
        <w:widowControl w:val="0"/>
        <w:ind w:firstLine="567" w:left="0"/>
        <w:jc w:val="both"/>
        <w:rPr>
          <w:sz w:val="22"/>
        </w:rPr>
      </w:pPr>
      <w:r>
        <w:rPr>
          <w:sz w:val="22"/>
        </w:rPr>
        <w:t>Вся полнота ответственности по соблюдению норм и правил техники безопасности, пожарной безопасности и охраны окружающей среды при выполнении работ в течение срока выполнения работ по контракту возлагается на Подрядчика.</w:t>
      </w:r>
    </w:p>
    <w:p w14:paraId="88000000">
      <w:pPr>
        <w:ind/>
        <w:jc w:val="both"/>
        <w:rPr>
          <w:b w:val="1"/>
          <w:i w:val="1"/>
          <w:color w:val="000000"/>
          <w:sz w:val="22"/>
        </w:rPr>
      </w:pPr>
    </w:p>
    <w:p w14:paraId="89000000">
      <w:pPr>
        <w:ind/>
        <w:jc w:val="both"/>
        <w:rPr>
          <w:i w:val="1"/>
          <w:sz w:val="22"/>
        </w:rPr>
      </w:pPr>
      <w:r>
        <w:rPr>
          <w:b w:val="1"/>
          <w:i w:val="1"/>
          <w:color w:val="000000"/>
          <w:sz w:val="22"/>
        </w:rPr>
        <w:t>* Описание</w:t>
      </w:r>
      <w:r>
        <w:rPr>
          <w:b w:val="1"/>
          <w:i w:val="1"/>
          <w:color w:val="000000"/>
          <w:sz w:val="22"/>
        </w:rPr>
        <w:t xml:space="preserve"> объекта закупки</w:t>
      </w:r>
      <w:r>
        <w:rPr>
          <w:b w:val="1"/>
          <w:i w:val="1"/>
          <w:color w:val="000000"/>
          <w:sz w:val="22"/>
        </w:rPr>
        <w:t xml:space="preserve"> произведено с учетом требований ст.</w:t>
      </w:r>
      <w:r>
        <w:rPr>
          <w:b w:val="1"/>
          <w:i w:val="1"/>
          <w:color w:val="000000"/>
          <w:sz w:val="22"/>
        </w:rPr>
        <w:t xml:space="preserve"> </w:t>
      </w:r>
      <w:r>
        <w:rPr>
          <w:b w:val="1"/>
          <w:i w:val="1"/>
          <w:color w:val="000000"/>
          <w:sz w:val="22"/>
        </w:rPr>
        <w:t>33</w:t>
      </w:r>
      <w:r>
        <w:rPr>
          <w:b w:val="1"/>
          <w:i w:val="1"/>
          <w:color w:val="000000"/>
          <w:sz w:val="22"/>
        </w:rPr>
        <w:t xml:space="preserve"> Федерального закона</w:t>
      </w:r>
      <w:r>
        <w:rPr>
          <w:b w:val="1"/>
          <w:i w:val="1"/>
          <w:color w:val="000000"/>
          <w:sz w:val="22"/>
        </w:rPr>
        <w:t xml:space="preserve"> </w:t>
      </w:r>
      <w:r>
        <w:rPr>
          <w:b w:val="1"/>
          <w:i w:val="1"/>
          <w:color w:val="000000"/>
          <w:sz w:val="22"/>
        </w:rPr>
        <w:br/>
      </w:r>
      <w:r>
        <w:rPr>
          <w:b w:val="1"/>
          <w:i w:val="1"/>
          <w:color w:val="000000"/>
          <w:sz w:val="22"/>
        </w:rPr>
        <w:t>№ 44-ФЗ, т.к. в КТРУ в отношении закупки (согласно коду) описание отсутствует.</w:t>
      </w:r>
    </w:p>
    <w:p w14:paraId="8A000000">
      <w:pPr>
        <w:ind/>
        <w:jc w:val="both"/>
        <w:rPr>
          <w:b w:val="1"/>
          <w:i w:val="1"/>
          <w:color w:val="000000"/>
          <w:sz w:val="22"/>
        </w:rPr>
      </w:pPr>
    </w:p>
    <w:p w14:paraId="8B000000">
      <w:pPr>
        <w:ind/>
        <w:jc w:val="both"/>
        <w:rPr>
          <w:b w:val="1"/>
          <w:i w:val="1"/>
          <w:color w:val="000000"/>
          <w:sz w:val="22"/>
        </w:rPr>
      </w:pPr>
    </w:p>
    <w:sectPr>
      <w:pgSz w:h="16838" w:orient="portrait" w:w="11906"/>
      <w:pgMar w:bottom="1134" w:footer="708" w:gutter="0" w:header="708" w:left="1701" w:right="850" w:top="709"/>
    </w:sectPr>
  </w:body>
</w:document>
</file>

<file path=word/comments.xml><?xml version="1.0" encoding="utf-8"?>
<w:comment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comment w:author="Бирюкова Наталья Александровна" w:date="2022-11-09T11:46:00" w:id="1">
    <w:p w14:paraId="01000000">
      <w:pPr>
        <w:pStyle w:val="Style_1"/>
      </w:pPr>
      <w:r>
        <w:t>В документе «Требования к содержанию и составу заявки» данная информация не указывается! Только в извещении</w:t>
      </w:r>
    </w:p>
    <w:p w14:paraId="02000000">
      <w:pPr>
        <w:pStyle w:val="Style_1"/>
      </w:pPr>
      <w:r>
        <w:t>Но в заявке Заказчика УКАЗЫВАЕТСЯ!</w:t>
      </w:r>
    </w:p>
  </w:comment>
</w:comments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15:commentEx w15:done="0" w15:paraId="02000000"/>
</w15:commentsEx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footnote reference"/>
    <w:link w:val="Style_9_ch"/>
    <w:rPr>
      <w:vertAlign w:val="superscript"/>
    </w:rPr>
  </w:style>
  <w:style w:styleId="Style_9_ch" w:type="character">
    <w:name w:val="footnote reference"/>
    <w:link w:val="Style_9"/>
    <w:rPr>
      <w:vertAlign w:val="superscript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annotation subject"/>
    <w:basedOn w:val="Style_1"/>
    <w:next w:val="Style_1"/>
    <w:link w:val="Style_14_ch"/>
    <w:rPr>
      <w:b w:val="1"/>
    </w:rPr>
  </w:style>
  <w:style w:styleId="Style_14_ch" w:type="character">
    <w:name w:val="annotation subject"/>
    <w:basedOn w:val="Style_1_ch"/>
    <w:link w:val="Style_14"/>
    <w:rPr>
      <w:b w:val="1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ind w:firstLine="0" w:left="5387"/>
      <w:jc w:val="center"/>
      <w:outlineLvl w:val="0"/>
    </w:pPr>
    <w:rPr>
      <w:rFonts w:ascii="Cambria" w:hAnsi="Cambria"/>
      <w:sz w:val="32"/>
    </w:rPr>
  </w:style>
  <w:style w:styleId="Style_3_ch" w:type="character">
    <w:name w:val="heading 1"/>
    <w:basedOn w:val="Style_6_ch"/>
    <w:link w:val="Style_3"/>
    <w:rPr>
      <w:rFonts w:ascii="Cambria" w:hAnsi="Cambria"/>
      <w:sz w:val="32"/>
    </w:rPr>
  </w:style>
  <w:style w:styleId="Style_5" w:type="paragraph">
    <w:name w:val="Body Text Indent"/>
    <w:basedOn w:val="Style_6"/>
    <w:link w:val="Style_5_ch"/>
    <w:pPr>
      <w:spacing w:after="120"/>
      <w:ind w:firstLine="0" w:left="283"/>
    </w:pPr>
  </w:style>
  <w:style w:styleId="Style_5_ch" w:type="character">
    <w:name w:val="Body Text Indent"/>
    <w:basedOn w:val="Style_6_ch"/>
    <w:link w:val="Style_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6"/>
    <w:link w:val="Style_17_ch"/>
    <w:rPr>
      <w:rFonts w:ascii="Calibri" w:hAnsi="Calibri"/>
    </w:rPr>
  </w:style>
  <w:style w:styleId="Style_17_ch" w:type="character">
    <w:name w:val="Footnote"/>
    <w:basedOn w:val="Style_6_ch"/>
    <w:link w:val="Style_17"/>
    <w:rPr>
      <w:rFonts w:ascii="Calibri" w:hAnsi="Calibri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annotation text"/>
    <w:basedOn w:val="Style_6"/>
    <w:link w:val="Style_1_ch"/>
  </w:style>
  <w:style w:styleId="Style_1_ch" w:type="character">
    <w:name w:val="annotation text"/>
    <w:basedOn w:val="Style_6_ch"/>
    <w:link w:val="Style_1"/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annotation reference"/>
    <w:link w:val="Style_22_ch"/>
    <w:rPr>
      <w:sz w:val="16"/>
    </w:rPr>
  </w:style>
  <w:style w:styleId="Style_22_ch" w:type="character">
    <w:name w:val="annotation reference"/>
    <w:link w:val="Style_22"/>
    <w:rPr>
      <w:sz w:val="16"/>
    </w:rPr>
  </w:style>
  <w:style w:styleId="Style_4" w:type="paragraph">
    <w:name w:val="s_1"/>
    <w:basedOn w:val="Style_6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s_1"/>
    <w:basedOn w:val="Style_6_ch"/>
    <w:link w:val="Style_4"/>
    <w:rPr>
      <w:sz w:val="24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6"/>
    <w:link w:val="Style_29_ch"/>
    <w:rPr>
      <w:rFonts w:ascii="Segoe UI" w:hAnsi="Segoe UI"/>
      <w:sz w:val="18"/>
    </w:rPr>
  </w:style>
  <w:style w:styleId="Style_29_ch" w:type="character">
    <w:name w:val="Balloon Text"/>
    <w:basedOn w:val="Style_6_ch"/>
    <w:link w:val="Style_29"/>
    <w:rPr>
      <w:rFonts w:ascii="Segoe UI" w:hAnsi="Segoe UI"/>
      <w:sz w:val="18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commentsExtended.xml" Type="http://schemas.microsoft.com/office/2011/relationships/commentsExtended"/>
  <Relationship Id="rId1" Target="comments.xml" Type="http://schemas.openxmlformats.org/officeDocument/2006/relationships/commen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2023-10-26T12:31:05Z</dcterms:modified>
</cp:coreProperties>
</file>